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4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21"/>
        <w:gridCol w:w="5894"/>
        <w:gridCol w:w="5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4" w:lineRule="exact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48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Fonts w:ascii="方正小标宋_GBK" w:hAnsi="华文中宋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华文中宋" w:eastAsia="方正小标宋_GBK"/>
                <w:kern w:val="0"/>
                <w:sz w:val="44"/>
                <w:szCs w:val="44"/>
                <w:lang w:eastAsia="zh-CN"/>
              </w:rPr>
              <w:t>平顶山市新华区财政局</w:t>
            </w:r>
            <w:r>
              <w:rPr>
                <w:rFonts w:hint="eastAsia" w:ascii="方正小标宋_GBK" w:hAnsi="华文中宋" w:eastAsia="方正小标宋_GBK"/>
                <w:kern w:val="0"/>
                <w:sz w:val="44"/>
                <w:szCs w:val="44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执法项目类别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审核事项名称</w:t>
            </w:r>
          </w:p>
        </w:tc>
        <w:tc>
          <w:tcPr>
            <w:tcW w:w="5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审核事项资料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8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对公民处以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万元以上的罚款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,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对法人或者其他组织处以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万元以上的罚款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;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没收违法所得数额或者没收非法财物价值相当于第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项规定的数额；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责令停产停业；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吊销企业许可证；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经听证程序作出的。</w:t>
            </w: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57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重大行政执法决定法制审核送审表；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相关的文书和证据材料，包括告知相对人执法人员身份、保障相对人陈述申辩权等材料；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相关法律、法规等依据；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经过听证程序的，提交听证笔录；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经过评估、鉴定程序的，提交评估、鉴定报告；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6.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其他需要提交的材料。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75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89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其他法律、法规、国务院决定、规章规定需要进行法制审核的。</w:t>
            </w:r>
          </w:p>
        </w:tc>
        <w:tc>
          <w:tcPr>
            <w:tcW w:w="57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经过听证程序作出的。</w:t>
            </w:r>
          </w:p>
        </w:tc>
        <w:tc>
          <w:tcPr>
            <w:tcW w:w="5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重大行政执法决定法制审核送审表；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相关的文书和证据材料；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相关法律、法规等依据；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经过听证程序的，提交听证笔录；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经过评估、鉴定程序的，提交评估、鉴定报告；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kern w:val="0"/>
                <w:sz w:val="28"/>
                <w:szCs w:val="28"/>
              </w:rPr>
              <w:t>6.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其他需要提交的材料。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4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32"/>
              </w:rPr>
              <w:t>2</w:t>
            </w: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4" w:lineRule="exact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被复议、诉讼机关责令重新作出行政许可决定的。</w:t>
            </w:r>
          </w:p>
        </w:tc>
        <w:tc>
          <w:tcPr>
            <w:tcW w:w="5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4" w:lineRule="exact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4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32"/>
              </w:rPr>
              <w:t>3</w:t>
            </w: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4" w:lineRule="exact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5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其他法律、法规、国务院决定、规章规定需要进行法制审核的。</w:t>
            </w:r>
          </w:p>
        </w:tc>
        <w:tc>
          <w:tcPr>
            <w:tcW w:w="5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4" w:lineRule="exact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24"/>
          <w:szCs w:val="32"/>
        </w:rPr>
      </w:pPr>
    </w:p>
    <w:sectPr>
      <w:headerReference r:id="rId3" w:type="default"/>
      <w:pgSz w:w="16838" w:h="11906" w:orient="landscape"/>
      <w:pgMar w:top="1418" w:right="851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7A"/>
    <w:rsid w:val="000C0295"/>
    <w:rsid w:val="00106463"/>
    <w:rsid w:val="00403409"/>
    <w:rsid w:val="00447140"/>
    <w:rsid w:val="005671BF"/>
    <w:rsid w:val="005705CE"/>
    <w:rsid w:val="0072579B"/>
    <w:rsid w:val="00742941"/>
    <w:rsid w:val="007464C8"/>
    <w:rsid w:val="00790445"/>
    <w:rsid w:val="007B6200"/>
    <w:rsid w:val="007D7301"/>
    <w:rsid w:val="00821BDE"/>
    <w:rsid w:val="008248E1"/>
    <w:rsid w:val="008D23ED"/>
    <w:rsid w:val="008E5E9E"/>
    <w:rsid w:val="00914BEF"/>
    <w:rsid w:val="00B22C41"/>
    <w:rsid w:val="00B24DF7"/>
    <w:rsid w:val="00C447B3"/>
    <w:rsid w:val="00DA1882"/>
    <w:rsid w:val="00E4116B"/>
    <w:rsid w:val="00FB4C7A"/>
    <w:rsid w:val="1F9623E6"/>
    <w:rsid w:val="761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451</Words>
  <Characters>469</Characters>
  <Lines>0</Lines>
  <Paragraphs>0</Paragraphs>
  <TotalTime>2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2019-12-23T00:34:00Z</dcterms:created>
  <dc:creator>LENOVO</dc:creator>
  <cp:lastModifiedBy>悟</cp:lastModifiedBy>
  <dcterms:modified xsi:type="dcterms:W3CDTF">2022-04-19T01:18:52Z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8E46326C09794DA4BB1107EA0CF466E0</vt:lpwstr>
  </property>
</Properties>
</file>