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新华区医疗保障局行政执法权责清单</w:t>
      </w:r>
    </w:p>
    <w:tbl>
      <w:tblPr>
        <w:tblStyle w:val="5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275"/>
        <w:gridCol w:w="1985"/>
        <w:gridCol w:w="3118"/>
        <w:gridCol w:w="4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行政类别</w:t>
            </w: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项目名称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实施主体</w:t>
            </w: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承办机构</w:t>
            </w:r>
          </w:p>
        </w:tc>
        <w:tc>
          <w:tcPr>
            <w:tcW w:w="311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实施依据</w:t>
            </w: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实施对象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行政处罚</w:t>
            </w: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对用人单位不办理用人登记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区医疗保障局基金监管科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《中华人民共和国社会保险法》第八十四条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参保单位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行政处罚</w:t>
            </w:r>
          </w:p>
        </w:tc>
        <w:tc>
          <w:tcPr>
            <w:tcW w:w="1701" w:type="dxa"/>
          </w:tcPr>
          <w:p>
            <w:pPr>
              <w:widowControl/>
              <w:spacing w:before="150" w:after="100" w:afterAutospacing="1"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对欺诈、伪造证明材料或其他手段骗取医保待遇的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区医疗保障局基金监管科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 《中华人民共和国社会保险法》第八十七条2《医疗保障基金使用监督管理条例》第三十七条、三十八条、三十九条、四十条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公民、法人其他组织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行政强制</w:t>
            </w:r>
          </w:p>
        </w:tc>
        <w:tc>
          <w:tcPr>
            <w:tcW w:w="1701" w:type="dxa"/>
          </w:tcPr>
          <w:p>
            <w:pPr>
              <w:widowControl/>
              <w:spacing w:before="150" w:after="100" w:afterAutospacing="1"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对欺诈、伪造证明材料或其他手段骗取医保待遇的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区医疗保障局基金监管科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《中华人民共和国社会保险法》第七十七条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公民、法人其他组织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行政监督</w:t>
            </w:r>
          </w:p>
        </w:tc>
        <w:tc>
          <w:tcPr>
            <w:tcW w:w="1701" w:type="dxa"/>
          </w:tcPr>
          <w:p>
            <w:pPr>
              <w:widowControl/>
              <w:spacing w:before="150" w:after="100" w:afterAutospacing="1" w:line="360" w:lineRule="exact"/>
              <w:ind w:firstLine="48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对欺诈、伪造证明材料或其他手段骗取医保待遇的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区医疗保障局基金监管科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《医疗保障基金使用监督管理条例》第六条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辖区各定点医药机构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其他</w:t>
            </w:r>
          </w:p>
        </w:tc>
        <w:tc>
          <w:tcPr>
            <w:tcW w:w="1701" w:type="dxa"/>
          </w:tcPr>
          <w:p>
            <w:pPr>
              <w:widowControl/>
              <w:spacing w:before="150" w:after="100" w:afterAutospacing="1" w:line="360" w:lineRule="exact"/>
              <w:ind w:firstLine="48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对医疗机构药品、耗材医疗服务价格的监督管理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区医疗保障局基金监管科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《关于印发药品集中采购监督办法的通知》国纠办发【2010】6号文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辖区各定点医药机构</w:t>
            </w:r>
          </w:p>
          <w:p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spacing w:line="360" w:lineRule="exact"/>
        <w:jc w:val="center"/>
        <w:rPr>
          <w:rFonts w:asciiTheme="minorEastAsia" w:hAnsiTheme="minorEastAsia"/>
          <w:sz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YWI2NmU0NTEyMTllOTlkMTMxODI0ZDg5ZjdmNjcifQ=="/>
  </w:docVars>
  <w:rsids>
    <w:rsidRoot w:val="00D753A9"/>
    <w:rsid w:val="00023FF9"/>
    <w:rsid w:val="0022128F"/>
    <w:rsid w:val="00573569"/>
    <w:rsid w:val="006F2EA8"/>
    <w:rsid w:val="00A57D24"/>
    <w:rsid w:val="00D753A9"/>
    <w:rsid w:val="00F5334E"/>
    <w:rsid w:val="412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副标题 Char"/>
    <w:basedOn w:val="6"/>
    <w:link w:val="3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425</Words>
  <Characters>428</Characters>
  <Lines>3</Lines>
  <Paragraphs>1</Paragraphs>
  <TotalTime>94</TotalTime>
  <ScaleCrop>false</ScaleCrop>
  <LinksUpToDate>false</LinksUpToDate>
  <CharactersWithSpaces>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2022-09-26T03:20:00Z</dcterms:created>
  <dc:creator>PC</dc:creator>
  <cp:lastModifiedBy>jhon</cp:lastModifiedBy>
  <dcterms:modified xsi:type="dcterms:W3CDTF">2024-03-28T09:16:59Z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A14B4C95C4334ABD9E5F3B22A036112C</vt:lpwstr>
  </property>
</Properties>
</file>