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3364A">
      <w:pPr>
        <w:autoSpaceDE w:val="0"/>
        <w:autoSpaceDN w:val="0"/>
        <w:adjustRightInd w:val="0"/>
        <w:jc w:val="center"/>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eastAsia="zh-CN"/>
        </w:rPr>
        <w:t>202</w:t>
      </w:r>
      <w:r>
        <w:rPr>
          <w:rFonts w:hint="eastAsia" w:ascii="方正小标宋简体" w:hAnsi="方正小标宋简体" w:eastAsia="方正小标宋简体" w:cs="方正小标宋简体"/>
          <w:kern w:val="0"/>
          <w:sz w:val="44"/>
          <w:szCs w:val="44"/>
          <w:lang w:val="en-US" w:eastAsia="zh-CN"/>
        </w:rPr>
        <w:t>5</w:t>
      </w:r>
      <w:r>
        <w:rPr>
          <w:rFonts w:hint="eastAsia" w:ascii="方正小标宋简体" w:hAnsi="方正小标宋简体" w:eastAsia="方正小标宋简体" w:cs="方正小标宋简体"/>
          <w:kern w:val="0"/>
          <w:sz w:val="44"/>
          <w:szCs w:val="44"/>
        </w:rPr>
        <w:t>年政府预算公开情况说明</w:t>
      </w:r>
    </w:p>
    <w:p w14:paraId="4194B5AB">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p>
    <w:p w14:paraId="7D9572BC">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一、关于</w:t>
      </w:r>
      <w:r>
        <w:rPr>
          <w:rFonts w:hint="eastAsia" w:ascii="仿宋_GB2312" w:eastAsia="仿宋_GB2312" w:cs="仿宋_GB2312"/>
          <w:kern w:val="0"/>
          <w:sz w:val="32"/>
          <w:szCs w:val="32"/>
          <w:lang w:eastAsia="zh-CN"/>
        </w:rPr>
        <w:t>202</w:t>
      </w: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rPr>
        <w:t>年新华区一般公共预算收入预算情况的说明</w:t>
      </w:r>
    </w:p>
    <w:p w14:paraId="0B49FE49">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二、关于</w:t>
      </w:r>
      <w:r>
        <w:rPr>
          <w:rFonts w:hint="eastAsia" w:ascii="仿宋_GB2312" w:eastAsia="仿宋_GB2312" w:cs="仿宋_GB2312"/>
          <w:kern w:val="0"/>
          <w:sz w:val="32"/>
          <w:szCs w:val="32"/>
          <w:lang w:eastAsia="zh-CN"/>
        </w:rPr>
        <w:t>202</w:t>
      </w: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lang w:eastAsia="zh-CN"/>
        </w:rPr>
        <w:t>年</w:t>
      </w:r>
      <w:r>
        <w:rPr>
          <w:rFonts w:hint="eastAsia" w:ascii="仿宋_GB2312" w:eastAsia="仿宋_GB2312" w:cs="仿宋_GB2312"/>
          <w:kern w:val="0"/>
          <w:sz w:val="32"/>
          <w:szCs w:val="32"/>
        </w:rPr>
        <w:t>新华区一般公共预算支出预算情况的说明</w:t>
      </w:r>
    </w:p>
    <w:p w14:paraId="737BB4B2">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三、关于</w:t>
      </w:r>
      <w:r>
        <w:rPr>
          <w:rFonts w:hint="eastAsia" w:ascii="仿宋_GB2312" w:eastAsia="仿宋_GB2312" w:cs="仿宋_GB2312"/>
          <w:kern w:val="0"/>
          <w:sz w:val="32"/>
          <w:szCs w:val="32"/>
          <w:lang w:eastAsia="zh-CN"/>
        </w:rPr>
        <w:t>202</w:t>
      </w: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lang w:eastAsia="zh-CN"/>
        </w:rPr>
        <w:t>年</w:t>
      </w:r>
      <w:r>
        <w:rPr>
          <w:rFonts w:hint="eastAsia" w:ascii="仿宋_GB2312" w:eastAsia="仿宋_GB2312" w:cs="仿宋_GB2312"/>
          <w:kern w:val="0"/>
          <w:sz w:val="32"/>
          <w:szCs w:val="32"/>
        </w:rPr>
        <w:t>新华区政府性基金收入预算情况的说明</w:t>
      </w:r>
    </w:p>
    <w:p w14:paraId="208663B4">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四、关于</w:t>
      </w:r>
      <w:r>
        <w:rPr>
          <w:rFonts w:hint="eastAsia" w:ascii="仿宋_GB2312" w:eastAsia="仿宋_GB2312" w:cs="仿宋_GB2312"/>
          <w:kern w:val="0"/>
          <w:sz w:val="32"/>
          <w:szCs w:val="32"/>
          <w:lang w:eastAsia="zh-CN"/>
        </w:rPr>
        <w:t>202</w:t>
      </w: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lang w:eastAsia="zh-CN"/>
        </w:rPr>
        <w:t>年</w:t>
      </w:r>
      <w:r>
        <w:rPr>
          <w:rFonts w:hint="eastAsia" w:ascii="仿宋_GB2312" w:eastAsia="仿宋_GB2312" w:cs="仿宋_GB2312"/>
          <w:kern w:val="0"/>
          <w:sz w:val="32"/>
          <w:szCs w:val="32"/>
        </w:rPr>
        <w:t>新华区政府性基金支出预算情况的说明</w:t>
      </w:r>
    </w:p>
    <w:p w14:paraId="123E61AC">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五、关于</w:t>
      </w:r>
      <w:r>
        <w:rPr>
          <w:rFonts w:hint="eastAsia" w:ascii="仿宋_GB2312" w:eastAsia="仿宋_GB2312" w:cs="仿宋_GB2312"/>
          <w:kern w:val="0"/>
          <w:sz w:val="32"/>
          <w:szCs w:val="32"/>
          <w:lang w:eastAsia="zh-CN"/>
        </w:rPr>
        <w:t>202</w:t>
      </w: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lang w:eastAsia="zh-CN"/>
        </w:rPr>
        <w:t>年</w:t>
      </w:r>
      <w:r>
        <w:rPr>
          <w:rFonts w:hint="eastAsia" w:ascii="仿宋_GB2312" w:eastAsia="仿宋_GB2312" w:cs="仿宋_GB2312"/>
          <w:kern w:val="0"/>
          <w:sz w:val="32"/>
          <w:szCs w:val="32"/>
        </w:rPr>
        <w:t>新华区国有资本经营收支预算情况的说明</w:t>
      </w:r>
    </w:p>
    <w:p w14:paraId="33F752EB">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六、关于</w:t>
      </w:r>
      <w:r>
        <w:rPr>
          <w:rFonts w:hint="eastAsia" w:ascii="仿宋_GB2312" w:eastAsia="仿宋_GB2312" w:cs="仿宋_GB2312"/>
          <w:kern w:val="0"/>
          <w:sz w:val="32"/>
          <w:szCs w:val="32"/>
          <w:lang w:eastAsia="zh-CN"/>
        </w:rPr>
        <w:t>202</w:t>
      </w: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lang w:eastAsia="zh-CN"/>
        </w:rPr>
        <w:t>年</w:t>
      </w:r>
      <w:r>
        <w:rPr>
          <w:rFonts w:hint="eastAsia" w:ascii="仿宋_GB2312" w:eastAsia="仿宋_GB2312" w:cs="仿宋_GB2312"/>
          <w:kern w:val="0"/>
          <w:sz w:val="32"/>
          <w:szCs w:val="32"/>
        </w:rPr>
        <w:t>新华区社会保险基金收入预算情况的说明</w:t>
      </w:r>
    </w:p>
    <w:p w14:paraId="7410DE3E">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七、关于</w:t>
      </w:r>
      <w:r>
        <w:rPr>
          <w:rFonts w:hint="eastAsia" w:ascii="仿宋_GB2312" w:eastAsia="仿宋_GB2312" w:cs="仿宋_GB2312"/>
          <w:kern w:val="0"/>
          <w:sz w:val="32"/>
          <w:szCs w:val="32"/>
          <w:lang w:eastAsia="zh-CN"/>
        </w:rPr>
        <w:t>202</w:t>
      </w: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lang w:eastAsia="zh-CN"/>
        </w:rPr>
        <w:t>年</w:t>
      </w:r>
      <w:r>
        <w:rPr>
          <w:rFonts w:hint="eastAsia" w:ascii="仿宋_GB2312" w:eastAsia="仿宋_GB2312" w:cs="仿宋_GB2312"/>
          <w:kern w:val="0"/>
          <w:sz w:val="32"/>
          <w:szCs w:val="32"/>
        </w:rPr>
        <w:t>新华区社会保险基金支出预算情况的说明</w:t>
      </w:r>
    </w:p>
    <w:p w14:paraId="5527E9E6">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八、关于</w:t>
      </w:r>
      <w:r>
        <w:rPr>
          <w:rFonts w:hint="eastAsia" w:ascii="仿宋_GB2312" w:eastAsia="仿宋_GB2312" w:cs="仿宋_GB2312"/>
          <w:kern w:val="0"/>
          <w:sz w:val="32"/>
          <w:szCs w:val="32"/>
          <w:lang w:eastAsia="zh-CN"/>
        </w:rPr>
        <w:t>202</w:t>
      </w: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lang w:eastAsia="zh-CN"/>
        </w:rPr>
        <w:t>年</w:t>
      </w:r>
      <w:r>
        <w:rPr>
          <w:rFonts w:hint="eastAsia" w:ascii="仿宋_GB2312" w:eastAsia="仿宋_GB2312" w:cs="仿宋_GB2312"/>
          <w:kern w:val="0"/>
          <w:sz w:val="32"/>
          <w:szCs w:val="32"/>
        </w:rPr>
        <w:t>新华区预算绩效管理工作开展情况说明</w:t>
      </w:r>
    </w:p>
    <w:p w14:paraId="7EFB8D93">
      <w:pPr>
        <w:autoSpaceDE w:val="0"/>
        <w:autoSpaceDN w:val="0"/>
        <w:adjustRightInd w:val="0"/>
        <w:spacing w:before="156" w:beforeLines="50" w:after="156" w:afterLines="50" w:line="360" w:lineRule="auto"/>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九、关于</w:t>
      </w:r>
      <w:r>
        <w:rPr>
          <w:rFonts w:ascii="仿宋_GB2312" w:eastAsia="仿宋_GB2312" w:cs="仿宋_GB2312"/>
          <w:kern w:val="0"/>
          <w:sz w:val="32"/>
          <w:szCs w:val="32"/>
        </w:rPr>
        <w:t>20</w:t>
      </w:r>
      <w:r>
        <w:rPr>
          <w:rFonts w:hint="eastAsia" w:ascii="仿宋_GB2312" w:eastAsia="仿宋_GB2312" w:cs="仿宋_GB2312"/>
          <w:kern w:val="0"/>
          <w:sz w:val="32"/>
          <w:szCs w:val="32"/>
        </w:rPr>
        <w:t>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年新华区举借债务情况的说明</w:t>
      </w:r>
    </w:p>
    <w:p w14:paraId="566EADB3">
      <w:pPr>
        <w:autoSpaceDE w:val="0"/>
        <w:autoSpaceDN w:val="0"/>
        <w:adjustRightInd w:val="0"/>
        <w:spacing w:before="156" w:beforeLines="50" w:after="156" w:afterLines="50" w:line="360" w:lineRule="auto"/>
        <w:jc w:val="lef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十、关于2025年新华区上级转移支付安排情况说明</w:t>
      </w:r>
    </w:p>
    <w:p w14:paraId="136E87D1">
      <w:pPr>
        <w:autoSpaceDE w:val="0"/>
        <w:autoSpaceDN w:val="0"/>
        <w:adjustRightInd w:val="0"/>
        <w:spacing w:before="156" w:beforeLines="50" w:after="156" w:afterLines="50"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十</w:t>
      </w:r>
      <w:r>
        <w:rPr>
          <w:rFonts w:hint="eastAsia" w:ascii="仿宋_GB2312" w:eastAsia="仿宋_GB2312" w:cs="仿宋_GB2312"/>
          <w:kern w:val="0"/>
          <w:sz w:val="32"/>
          <w:szCs w:val="32"/>
          <w:lang w:val="en-US" w:eastAsia="zh-CN"/>
        </w:rPr>
        <w:t>一</w:t>
      </w:r>
      <w:r>
        <w:rPr>
          <w:rFonts w:hint="eastAsia" w:ascii="仿宋_GB2312" w:eastAsia="仿宋_GB2312" w:cs="仿宋_GB2312"/>
          <w:kern w:val="0"/>
          <w:sz w:val="32"/>
          <w:szCs w:val="32"/>
        </w:rPr>
        <w:t>、关于</w:t>
      </w:r>
      <w:r>
        <w:rPr>
          <w:rFonts w:hint="eastAsia" w:ascii="仿宋_GB2312" w:eastAsia="仿宋_GB2312" w:cs="仿宋_GB2312"/>
          <w:kern w:val="0"/>
          <w:sz w:val="32"/>
          <w:szCs w:val="32"/>
          <w:lang w:eastAsia="zh-CN"/>
        </w:rPr>
        <w:t>202</w:t>
      </w: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lang w:eastAsia="zh-CN"/>
        </w:rPr>
        <w:t>年</w:t>
      </w:r>
      <w:r>
        <w:rPr>
          <w:rFonts w:hint="eastAsia" w:ascii="仿宋_GB2312" w:eastAsia="仿宋_GB2312" w:cs="仿宋_GB2312"/>
          <w:kern w:val="0"/>
          <w:sz w:val="32"/>
          <w:szCs w:val="32"/>
        </w:rPr>
        <w:t>新华区“三公”经费预算情况的说明</w:t>
      </w:r>
    </w:p>
    <w:p w14:paraId="21447987">
      <w:pPr>
        <w:autoSpaceDE w:val="0"/>
        <w:autoSpaceDN w:val="0"/>
        <w:adjustRightInd w:val="0"/>
        <w:spacing w:before="156" w:beforeLines="50" w:after="156" w:afterLines="50" w:line="360" w:lineRule="auto"/>
        <w:jc w:val="center"/>
        <w:rPr>
          <w:rFonts w:ascii="仿宋_GB2312" w:eastAsia="仿宋_GB2312" w:cs="仿宋_GB2312"/>
          <w:kern w:val="0"/>
          <w:sz w:val="32"/>
          <w:szCs w:val="32"/>
        </w:rPr>
      </w:pPr>
    </w:p>
    <w:p w14:paraId="48A6DF0B">
      <w:pPr>
        <w:autoSpaceDE w:val="0"/>
        <w:autoSpaceDN w:val="0"/>
        <w:adjustRightInd w:val="0"/>
        <w:spacing w:before="156" w:beforeLines="50" w:after="156" w:afterLines="50" w:line="360" w:lineRule="auto"/>
        <w:jc w:val="center"/>
        <w:rPr>
          <w:rFonts w:ascii="仿宋_GB2312" w:eastAsia="仿宋_GB2312" w:cs="仿宋_GB2312"/>
          <w:kern w:val="0"/>
          <w:sz w:val="32"/>
          <w:szCs w:val="32"/>
        </w:rPr>
      </w:pPr>
    </w:p>
    <w:p w14:paraId="55EA6462">
      <w:pPr>
        <w:autoSpaceDE w:val="0"/>
        <w:autoSpaceDN w:val="0"/>
        <w:adjustRightInd w:val="0"/>
        <w:spacing w:before="156" w:beforeLines="50" w:after="156" w:afterLines="50" w:line="360" w:lineRule="auto"/>
        <w:jc w:val="center"/>
        <w:rPr>
          <w:rFonts w:ascii="方正小标宋简体" w:hAnsi="方正小标宋简体" w:eastAsia="方正小标宋简体" w:cs="方正小标宋简体"/>
          <w:kern w:val="0"/>
          <w:sz w:val="44"/>
          <w:szCs w:val="44"/>
        </w:rPr>
      </w:pPr>
    </w:p>
    <w:p w14:paraId="0993C1C1">
      <w:pPr>
        <w:autoSpaceDE w:val="0"/>
        <w:autoSpaceDN w:val="0"/>
        <w:adjustRightInd w:val="0"/>
        <w:jc w:val="center"/>
        <w:rPr>
          <w:rFonts w:ascii="方正小标宋简体" w:hAnsi="方正小标宋简体" w:eastAsia="方正小标宋简体" w:cs="方正小标宋简体"/>
          <w:kern w:val="0"/>
          <w:sz w:val="44"/>
          <w:szCs w:val="44"/>
        </w:rPr>
      </w:pPr>
    </w:p>
    <w:p w14:paraId="18AE32D9">
      <w:pPr>
        <w:autoSpaceDE w:val="0"/>
        <w:autoSpaceDN w:val="0"/>
        <w:adjustRightInd w:val="0"/>
        <w:jc w:val="center"/>
        <w:rPr>
          <w:rFonts w:hint="eastAsia" w:ascii="方正小标宋简体" w:hAnsi="方正小标宋简体" w:eastAsia="方正小标宋简体" w:cs="方正小标宋简体"/>
          <w:kern w:val="0"/>
          <w:sz w:val="44"/>
          <w:szCs w:val="44"/>
          <w:lang w:eastAsia="zh-CN"/>
        </w:rPr>
      </w:pPr>
    </w:p>
    <w:p w14:paraId="001F78DD">
      <w:pPr>
        <w:autoSpaceDE w:val="0"/>
        <w:autoSpaceDN w:val="0"/>
        <w:adjustRightInd w:val="0"/>
        <w:jc w:val="center"/>
        <w:rPr>
          <w:rFonts w:hint="eastAsia" w:ascii="方正小标宋简体" w:hAnsi="方正小标宋简体" w:eastAsia="方正小标宋简体" w:cs="方正小标宋简体"/>
          <w:kern w:val="0"/>
          <w:sz w:val="44"/>
          <w:szCs w:val="44"/>
          <w:lang w:eastAsia="zh-CN"/>
        </w:rPr>
      </w:pPr>
    </w:p>
    <w:p w14:paraId="4A580080">
      <w:pPr>
        <w:autoSpaceDE w:val="0"/>
        <w:autoSpaceDN w:val="0"/>
        <w:adjustRightInd w:val="0"/>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202</w:t>
      </w:r>
      <w:r>
        <w:rPr>
          <w:rFonts w:hint="eastAsia" w:ascii="方正小标宋简体" w:hAnsi="方正小标宋简体" w:eastAsia="方正小标宋简体" w:cs="方正小标宋简体"/>
          <w:kern w:val="0"/>
          <w:sz w:val="44"/>
          <w:szCs w:val="44"/>
          <w:lang w:val="en-US" w:eastAsia="zh-CN"/>
        </w:rPr>
        <w:t>5</w:t>
      </w:r>
      <w:r>
        <w:rPr>
          <w:rFonts w:hint="eastAsia" w:ascii="方正小标宋简体" w:hAnsi="方正小标宋简体" w:eastAsia="方正小标宋简体" w:cs="方正小标宋简体"/>
          <w:kern w:val="0"/>
          <w:sz w:val="44"/>
          <w:szCs w:val="44"/>
          <w:lang w:eastAsia="zh-CN"/>
        </w:rPr>
        <w:t>年</w:t>
      </w:r>
      <w:r>
        <w:rPr>
          <w:rFonts w:hint="eastAsia" w:ascii="方正小标宋简体" w:hAnsi="方正小标宋简体" w:eastAsia="方正小标宋简体" w:cs="方正小标宋简体"/>
          <w:kern w:val="0"/>
          <w:sz w:val="44"/>
          <w:szCs w:val="44"/>
        </w:rPr>
        <w:t>政府预算公开情况说明</w:t>
      </w:r>
    </w:p>
    <w:p w14:paraId="5E1BB0E7">
      <w:pPr>
        <w:autoSpaceDE w:val="0"/>
        <w:autoSpaceDN w:val="0"/>
        <w:adjustRightInd w:val="0"/>
        <w:jc w:val="center"/>
        <w:rPr>
          <w:rFonts w:hint="eastAsia" w:ascii="方正小标宋简体" w:hAnsi="方正小标宋简体" w:eastAsia="方正小标宋简体" w:cs="方正小标宋简体"/>
          <w:kern w:val="0"/>
          <w:sz w:val="44"/>
          <w:szCs w:val="44"/>
        </w:rPr>
      </w:pPr>
    </w:p>
    <w:p w14:paraId="4439058F">
      <w:pPr>
        <w:autoSpaceDE w:val="0"/>
        <w:autoSpaceDN w:val="0"/>
        <w:adjustRightInd w:val="0"/>
        <w:ind w:firstLine="640" w:firstLineChars="200"/>
        <w:jc w:val="left"/>
        <w:rPr>
          <w:rFonts w:ascii="宋体" w:eastAsia="宋体" w:cs="宋体"/>
          <w:kern w:val="0"/>
          <w:sz w:val="44"/>
          <w:szCs w:val="44"/>
        </w:rPr>
      </w:pPr>
      <w:r>
        <w:rPr>
          <w:rFonts w:hint="eastAsia" w:ascii="黑体" w:hAnsi="黑体" w:eastAsia="黑体" w:cs="黑体"/>
          <w:kern w:val="0"/>
          <w:sz w:val="32"/>
          <w:szCs w:val="32"/>
        </w:rPr>
        <w:t>一、关于</w:t>
      </w:r>
      <w:r>
        <w:rPr>
          <w:rFonts w:hint="eastAsia" w:ascii="黑体" w:hAnsi="黑体" w:eastAsia="黑体" w:cs="黑体"/>
          <w:kern w:val="0"/>
          <w:sz w:val="32"/>
          <w:szCs w:val="32"/>
          <w:lang w:eastAsia="zh-CN"/>
        </w:rPr>
        <w:t>202</w:t>
      </w:r>
      <w:r>
        <w:rPr>
          <w:rFonts w:hint="eastAsia" w:ascii="黑体" w:hAnsi="黑体" w:eastAsia="黑体" w:cs="黑体"/>
          <w:kern w:val="0"/>
          <w:sz w:val="32"/>
          <w:szCs w:val="32"/>
          <w:lang w:val="en-US" w:eastAsia="zh-CN"/>
        </w:rPr>
        <w:t>5</w:t>
      </w:r>
      <w:r>
        <w:rPr>
          <w:rFonts w:hint="eastAsia" w:ascii="黑体" w:hAnsi="黑体" w:eastAsia="黑体" w:cs="黑体"/>
          <w:kern w:val="0"/>
          <w:sz w:val="32"/>
          <w:szCs w:val="32"/>
          <w:lang w:eastAsia="zh-CN"/>
        </w:rPr>
        <w:t>年</w:t>
      </w:r>
      <w:r>
        <w:rPr>
          <w:rFonts w:hint="eastAsia" w:ascii="黑体" w:hAnsi="黑体" w:eastAsia="黑体" w:cs="黑体"/>
          <w:kern w:val="0"/>
          <w:sz w:val="32"/>
          <w:szCs w:val="32"/>
        </w:rPr>
        <w:t>新华区一般公共预算收入预算情况的说明</w:t>
      </w:r>
    </w:p>
    <w:p w14:paraId="0013D982">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2025年我区一般公共预算收入安排107395万元，增长5%。具体安排情况是：</w:t>
      </w:r>
    </w:p>
    <w:p w14:paraId="76E6CD39">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税收收入66270万元，增长8.7%。其中：增值税28766万元、企业所得税10286万元、城市维护建设税5866万元、房产税2260万元、城镇土地使用税6186万元。税收占一般公共预算收入的比重为61.7%。</w:t>
      </w:r>
    </w:p>
    <w:p w14:paraId="2E33C648">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非税收入41125万元，下降0.5%。其中：专项收入3450万元、行政事业性收费收入200万元、国有资源（资产）有偿使用收入15842万元。</w:t>
      </w:r>
    </w:p>
    <w:p w14:paraId="31BFCB84">
      <w:pPr>
        <w:spacing w:line="580" w:lineRule="exact"/>
        <w:ind w:firstLine="640" w:firstLineChars="200"/>
        <w:rPr>
          <w:rFonts w:hint="eastAsia" w:ascii="仿宋" w:hAnsi="仿宋" w:eastAsia="仿宋" w:cs="仿宋"/>
          <w:color w:val="auto"/>
          <w:sz w:val="32"/>
          <w:szCs w:val="32"/>
          <w:highlight w:val="none"/>
        </w:rPr>
      </w:pPr>
      <w:r>
        <w:rPr>
          <w:rFonts w:hint="eastAsia" w:ascii="仿宋_GB2312" w:eastAsia="仿宋_GB2312"/>
          <w:sz w:val="32"/>
          <w:szCs w:val="32"/>
        </w:rPr>
        <w:t>上级补助收入41285万元，上年结转12754万元，调入资金355万元。一般公共预算收入总计为161789万元。</w:t>
      </w:r>
    </w:p>
    <w:p w14:paraId="3745AD38">
      <w:pPr>
        <w:autoSpaceDE w:val="0"/>
        <w:autoSpaceDN w:val="0"/>
        <w:adjustRightInd w:val="0"/>
        <w:ind w:firstLine="640" w:firstLineChars="200"/>
        <w:jc w:val="left"/>
        <w:rPr>
          <w:rFonts w:ascii="宋体" w:eastAsia="宋体" w:cs="宋体"/>
          <w:kern w:val="0"/>
          <w:sz w:val="32"/>
          <w:szCs w:val="32"/>
        </w:rPr>
      </w:pPr>
      <w:r>
        <w:rPr>
          <w:rFonts w:hint="eastAsia" w:ascii="黑体" w:hAnsi="黑体" w:eastAsia="黑体" w:cs="黑体"/>
          <w:kern w:val="0"/>
          <w:sz w:val="32"/>
          <w:szCs w:val="32"/>
        </w:rPr>
        <w:t>二、关于</w:t>
      </w:r>
      <w:r>
        <w:rPr>
          <w:rFonts w:hint="eastAsia" w:ascii="黑体" w:hAnsi="黑体" w:eastAsia="黑体" w:cs="黑体"/>
          <w:kern w:val="0"/>
          <w:sz w:val="32"/>
          <w:szCs w:val="32"/>
          <w:lang w:eastAsia="zh-CN"/>
        </w:rPr>
        <w:t>202</w:t>
      </w:r>
      <w:r>
        <w:rPr>
          <w:rFonts w:hint="eastAsia" w:ascii="黑体" w:hAnsi="黑体" w:eastAsia="黑体" w:cs="黑体"/>
          <w:kern w:val="0"/>
          <w:sz w:val="32"/>
          <w:szCs w:val="32"/>
          <w:lang w:val="en-US" w:eastAsia="zh-CN"/>
        </w:rPr>
        <w:t>5</w:t>
      </w:r>
      <w:r>
        <w:rPr>
          <w:rFonts w:hint="eastAsia" w:ascii="黑体" w:hAnsi="黑体" w:eastAsia="黑体" w:cs="黑体"/>
          <w:kern w:val="0"/>
          <w:sz w:val="32"/>
          <w:szCs w:val="32"/>
          <w:lang w:eastAsia="zh-CN"/>
        </w:rPr>
        <w:t>年</w:t>
      </w:r>
      <w:r>
        <w:rPr>
          <w:rFonts w:hint="eastAsia" w:ascii="黑体" w:hAnsi="黑体" w:eastAsia="黑体" w:cs="黑体"/>
          <w:kern w:val="0"/>
          <w:sz w:val="32"/>
          <w:szCs w:val="32"/>
        </w:rPr>
        <w:t>新华区一般公共预算支出预算情况的说明</w:t>
      </w:r>
    </w:p>
    <w:p w14:paraId="5B7BA1AF">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2025年我区一般公共预算支出安排156298万元，下降2.8%。其中：人员和公用经费等基本支出74636万元，项目支出52308万元，年初预留9000万元，人员经费预留6000万元，预备费1600万元，上年结转项目12754万元。上解上级支出1061万元；债务还本支出（线下支出科目）4430万元，一般公共预算支出总计为161789万元。</w:t>
      </w:r>
    </w:p>
    <w:p w14:paraId="593C5F94">
      <w:pPr>
        <w:autoSpaceDE w:val="0"/>
        <w:autoSpaceDN w:val="0"/>
        <w:adjustRightInd w:val="0"/>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三、关于</w:t>
      </w:r>
      <w:r>
        <w:rPr>
          <w:rFonts w:hint="eastAsia" w:ascii="黑体" w:hAnsi="黑体" w:eastAsia="黑体" w:cs="黑体"/>
          <w:kern w:val="0"/>
          <w:sz w:val="32"/>
          <w:szCs w:val="32"/>
          <w:lang w:eastAsia="zh-CN"/>
        </w:rPr>
        <w:t>202</w:t>
      </w:r>
      <w:r>
        <w:rPr>
          <w:rFonts w:hint="eastAsia" w:ascii="黑体" w:hAnsi="黑体" w:eastAsia="黑体" w:cs="黑体"/>
          <w:kern w:val="0"/>
          <w:sz w:val="32"/>
          <w:szCs w:val="32"/>
          <w:lang w:val="en-US" w:eastAsia="zh-CN"/>
        </w:rPr>
        <w:t>5</w:t>
      </w:r>
      <w:r>
        <w:rPr>
          <w:rFonts w:hint="eastAsia" w:ascii="黑体" w:hAnsi="黑体" w:eastAsia="黑体" w:cs="黑体"/>
          <w:kern w:val="0"/>
          <w:sz w:val="32"/>
          <w:szCs w:val="32"/>
          <w:lang w:eastAsia="zh-CN"/>
        </w:rPr>
        <w:t>年</w:t>
      </w:r>
      <w:r>
        <w:rPr>
          <w:rFonts w:hint="eastAsia" w:ascii="黑体" w:hAnsi="黑体" w:eastAsia="黑体" w:cs="黑体"/>
          <w:kern w:val="0"/>
          <w:sz w:val="32"/>
          <w:szCs w:val="32"/>
        </w:rPr>
        <w:t>新华区政府性基金收入预算情况的说明</w:t>
      </w:r>
    </w:p>
    <w:p w14:paraId="3949DB74">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2025年市对区国有土地使用权出让收入分成预计22418万元，转移支付收入102万元，上年结余36933万元。政府性基金预算收入总计为59453万元。</w:t>
      </w:r>
    </w:p>
    <w:p w14:paraId="6C1AE109">
      <w:pPr>
        <w:autoSpaceDE w:val="0"/>
        <w:autoSpaceDN w:val="0"/>
        <w:adjustRightInd w:val="0"/>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四、关于</w:t>
      </w:r>
      <w:r>
        <w:rPr>
          <w:rFonts w:hint="eastAsia" w:ascii="黑体" w:hAnsi="黑体" w:eastAsia="黑体" w:cs="黑体"/>
          <w:kern w:val="0"/>
          <w:sz w:val="32"/>
          <w:szCs w:val="32"/>
          <w:lang w:eastAsia="zh-CN"/>
        </w:rPr>
        <w:t>202</w:t>
      </w:r>
      <w:r>
        <w:rPr>
          <w:rFonts w:hint="eastAsia" w:ascii="黑体" w:hAnsi="黑体" w:eastAsia="黑体" w:cs="黑体"/>
          <w:kern w:val="0"/>
          <w:sz w:val="32"/>
          <w:szCs w:val="32"/>
          <w:lang w:val="en-US" w:eastAsia="zh-CN"/>
        </w:rPr>
        <w:t>5</w:t>
      </w:r>
      <w:r>
        <w:rPr>
          <w:rFonts w:hint="eastAsia" w:ascii="黑体" w:hAnsi="黑体" w:eastAsia="黑体" w:cs="黑体"/>
          <w:kern w:val="0"/>
          <w:sz w:val="32"/>
          <w:szCs w:val="32"/>
          <w:lang w:eastAsia="zh-CN"/>
        </w:rPr>
        <w:t>年</w:t>
      </w:r>
      <w:r>
        <w:rPr>
          <w:rFonts w:hint="eastAsia" w:ascii="黑体" w:hAnsi="黑体" w:eastAsia="黑体" w:cs="黑体"/>
          <w:kern w:val="0"/>
          <w:sz w:val="32"/>
          <w:szCs w:val="32"/>
        </w:rPr>
        <w:t>新华区政府性基金支出预算情况的说明</w:t>
      </w:r>
    </w:p>
    <w:p w14:paraId="3D57DEA4">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2025年政府性基金预算支出安排45553万元。其中：彩票公益金安排的支出102万元，城乡社区支出400万元，专项债务付息支出8118万元，上年结转项目支出36933万元（主要是棚户区改造项目及其他地方自行试点项目收益专项政府债券资金）。债务还本支出（线下支出科目）13900万元，政府性基金预算支出总计为59453万元。</w:t>
      </w:r>
    </w:p>
    <w:p w14:paraId="3B23DC15">
      <w:pPr>
        <w:autoSpaceDE w:val="0"/>
        <w:autoSpaceDN w:val="0"/>
        <w:adjustRightInd w:val="0"/>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五、关于</w:t>
      </w:r>
      <w:r>
        <w:rPr>
          <w:rFonts w:hint="eastAsia" w:ascii="黑体" w:hAnsi="黑体" w:eastAsia="黑体" w:cs="黑体"/>
          <w:kern w:val="0"/>
          <w:sz w:val="32"/>
          <w:szCs w:val="32"/>
          <w:lang w:eastAsia="zh-CN"/>
        </w:rPr>
        <w:t>202</w:t>
      </w:r>
      <w:r>
        <w:rPr>
          <w:rFonts w:hint="eastAsia" w:ascii="黑体" w:hAnsi="黑体" w:eastAsia="黑体" w:cs="黑体"/>
          <w:kern w:val="0"/>
          <w:sz w:val="32"/>
          <w:szCs w:val="32"/>
          <w:lang w:val="en-US" w:eastAsia="zh-CN"/>
        </w:rPr>
        <w:t>5</w:t>
      </w:r>
      <w:r>
        <w:rPr>
          <w:rFonts w:hint="eastAsia" w:ascii="黑体" w:hAnsi="黑体" w:eastAsia="黑体" w:cs="黑体"/>
          <w:kern w:val="0"/>
          <w:sz w:val="32"/>
          <w:szCs w:val="32"/>
          <w:lang w:eastAsia="zh-CN"/>
        </w:rPr>
        <w:t>年</w:t>
      </w:r>
      <w:r>
        <w:rPr>
          <w:rFonts w:hint="eastAsia" w:ascii="黑体" w:hAnsi="黑体" w:eastAsia="黑体" w:cs="黑体"/>
          <w:kern w:val="0"/>
          <w:sz w:val="32"/>
          <w:szCs w:val="32"/>
        </w:rPr>
        <w:t>新华区国有资本经营收支预算情况的说明</w:t>
      </w:r>
    </w:p>
    <w:p w14:paraId="0F19FD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kern w:val="0"/>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年上级提前告知国有资本经营补助收入355万元，调入一般公共预算使用</w:t>
      </w:r>
      <w:r>
        <w:rPr>
          <w:rFonts w:hint="eastAsia" w:ascii="仿宋" w:hAnsi="仿宋" w:eastAsia="仿宋" w:cs="仿宋"/>
          <w:color w:val="auto"/>
          <w:sz w:val="32"/>
          <w:szCs w:val="32"/>
          <w:highlight w:val="none"/>
        </w:rPr>
        <w:t>，主要用于国有企业退休人员社会化管理工作</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退休管理人员生活补助和改善国有企业退休人员生活区域基础设施和环境。</w:t>
      </w:r>
    </w:p>
    <w:p w14:paraId="2D389DAE">
      <w:pPr>
        <w:autoSpaceDE w:val="0"/>
        <w:autoSpaceDN w:val="0"/>
        <w:adjustRightInd w:val="0"/>
        <w:ind w:firstLine="640" w:firstLineChars="200"/>
        <w:jc w:val="left"/>
        <w:rPr>
          <w:rFonts w:ascii="仿宋_GB2312" w:eastAsia="仿宋_GB2312" w:cs="仿宋_GB2312"/>
          <w:kern w:val="0"/>
          <w:sz w:val="44"/>
          <w:szCs w:val="44"/>
        </w:rPr>
      </w:pPr>
      <w:r>
        <w:rPr>
          <w:rFonts w:hint="eastAsia" w:ascii="黑体" w:hAnsi="黑体" w:eastAsia="黑体" w:cs="黑体"/>
          <w:kern w:val="0"/>
          <w:sz w:val="32"/>
          <w:szCs w:val="32"/>
        </w:rPr>
        <w:t>六、关于</w:t>
      </w:r>
      <w:r>
        <w:rPr>
          <w:rFonts w:hint="eastAsia" w:ascii="黑体" w:hAnsi="黑体" w:eastAsia="黑体" w:cs="黑体"/>
          <w:kern w:val="0"/>
          <w:sz w:val="32"/>
          <w:szCs w:val="32"/>
          <w:lang w:eastAsia="zh-CN"/>
        </w:rPr>
        <w:t>202</w:t>
      </w:r>
      <w:r>
        <w:rPr>
          <w:rFonts w:hint="eastAsia" w:ascii="黑体" w:hAnsi="黑体" w:eastAsia="黑体" w:cs="黑体"/>
          <w:kern w:val="0"/>
          <w:sz w:val="32"/>
          <w:szCs w:val="32"/>
          <w:lang w:val="en-US" w:eastAsia="zh-CN"/>
        </w:rPr>
        <w:t>5</w:t>
      </w:r>
      <w:r>
        <w:rPr>
          <w:rFonts w:hint="eastAsia" w:ascii="黑体" w:hAnsi="黑体" w:eastAsia="黑体" w:cs="黑体"/>
          <w:kern w:val="0"/>
          <w:sz w:val="32"/>
          <w:szCs w:val="32"/>
          <w:lang w:eastAsia="zh-CN"/>
        </w:rPr>
        <w:t>年</w:t>
      </w:r>
      <w:r>
        <w:rPr>
          <w:rFonts w:hint="eastAsia" w:ascii="黑体" w:hAnsi="黑体" w:eastAsia="黑体" w:cs="黑体"/>
          <w:kern w:val="0"/>
          <w:sz w:val="32"/>
          <w:szCs w:val="32"/>
        </w:rPr>
        <w:t>新华区社会保险基金收入预算情况的说明</w:t>
      </w:r>
    </w:p>
    <w:p w14:paraId="585D98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年社会保险基金预算安排城乡居民养老保险基金收入4</w:t>
      </w:r>
      <w:r>
        <w:rPr>
          <w:rFonts w:hint="eastAsia" w:ascii="仿宋_GB2312" w:hAnsi="宋体" w:eastAsia="仿宋_GB2312"/>
          <w:sz w:val="32"/>
          <w:szCs w:val="32"/>
          <w:lang w:val="en-US" w:eastAsia="zh-CN"/>
        </w:rPr>
        <w:t>993</w:t>
      </w:r>
      <w:r>
        <w:rPr>
          <w:rFonts w:hint="eastAsia" w:ascii="仿宋_GB2312" w:hAnsi="宋体" w:eastAsia="仿宋_GB2312"/>
          <w:sz w:val="32"/>
          <w:szCs w:val="32"/>
        </w:rPr>
        <w:t>万元</w:t>
      </w:r>
      <w:r>
        <w:rPr>
          <w:rFonts w:hint="eastAsia" w:ascii="仿宋" w:hAnsi="仿宋" w:eastAsia="仿宋" w:cs="仿宋"/>
          <w:color w:val="auto"/>
          <w:sz w:val="32"/>
          <w:szCs w:val="32"/>
          <w:highlight w:val="none"/>
        </w:rPr>
        <w:t>。</w:t>
      </w:r>
    </w:p>
    <w:p w14:paraId="0AAB84D7">
      <w:pPr>
        <w:autoSpaceDE w:val="0"/>
        <w:autoSpaceDN w:val="0"/>
        <w:adjustRightInd w:val="0"/>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七、关于</w:t>
      </w:r>
      <w:r>
        <w:rPr>
          <w:rFonts w:hint="eastAsia" w:ascii="黑体" w:hAnsi="黑体" w:eastAsia="黑体" w:cs="黑体"/>
          <w:kern w:val="0"/>
          <w:sz w:val="32"/>
          <w:szCs w:val="32"/>
          <w:lang w:eastAsia="zh-CN"/>
        </w:rPr>
        <w:t>202</w:t>
      </w:r>
      <w:r>
        <w:rPr>
          <w:rFonts w:hint="eastAsia" w:ascii="黑体" w:hAnsi="黑体" w:eastAsia="黑体" w:cs="黑体"/>
          <w:kern w:val="0"/>
          <w:sz w:val="32"/>
          <w:szCs w:val="32"/>
          <w:lang w:val="en-US" w:eastAsia="zh-CN"/>
        </w:rPr>
        <w:t>5</w:t>
      </w:r>
      <w:r>
        <w:rPr>
          <w:rFonts w:hint="eastAsia" w:ascii="黑体" w:hAnsi="黑体" w:eastAsia="黑体" w:cs="黑体"/>
          <w:kern w:val="0"/>
          <w:sz w:val="32"/>
          <w:szCs w:val="32"/>
          <w:lang w:eastAsia="zh-CN"/>
        </w:rPr>
        <w:t>年</w:t>
      </w:r>
      <w:r>
        <w:rPr>
          <w:rFonts w:hint="eastAsia" w:ascii="黑体" w:hAnsi="黑体" w:eastAsia="黑体" w:cs="黑体"/>
          <w:kern w:val="0"/>
          <w:sz w:val="32"/>
          <w:szCs w:val="32"/>
        </w:rPr>
        <w:t>新华区社会保险基金支出预算情况的说明</w:t>
      </w:r>
    </w:p>
    <w:p w14:paraId="45766E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2024</w:t>
      </w:r>
      <w:r>
        <w:rPr>
          <w:rFonts w:hint="eastAsia" w:ascii="仿宋" w:hAnsi="仿宋" w:eastAsia="仿宋" w:cs="仿宋"/>
          <w:color w:val="auto"/>
          <w:sz w:val="32"/>
          <w:szCs w:val="32"/>
          <w:highlight w:val="none"/>
        </w:rPr>
        <w:t>年社会保险基金支出预算安排城乡居民养老保险基金支出</w:t>
      </w:r>
      <w:r>
        <w:rPr>
          <w:rFonts w:hint="eastAsia" w:ascii="仿宋_GB2312" w:hAnsi="宋体" w:eastAsia="仿宋_GB2312"/>
          <w:sz w:val="32"/>
          <w:szCs w:val="32"/>
          <w:lang w:val="en-US" w:eastAsia="zh-CN"/>
        </w:rPr>
        <w:t>3471</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rPr>
        <w:t>,</w:t>
      </w:r>
      <w:r>
        <w:rPr>
          <w:rFonts w:hint="eastAsia" w:ascii="仿宋_GB2312" w:eastAsia="仿宋_GB2312"/>
          <w:sz w:val="32"/>
          <w:szCs w:val="32"/>
        </w:rPr>
        <w:t>结余1522万元。</w:t>
      </w:r>
    </w:p>
    <w:p w14:paraId="058FEB9D">
      <w:pPr>
        <w:autoSpaceDE w:val="0"/>
        <w:autoSpaceDN w:val="0"/>
        <w:adjustRightInd w:val="0"/>
        <w:ind w:firstLine="640" w:firstLineChars="200"/>
        <w:jc w:val="left"/>
        <w:rPr>
          <w:rFonts w:ascii="仿宋_GB2312" w:eastAsia="仿宋_GB2312" w:cs="仿宋_GB2312"/>
          <w:kern w:val="0"/>
          <w:sz w:val="44"/>
          <w:szCs w:val="44"/>
        </w:rPr>
      </w:pPr>
      <w:r>
        <w:rPr>
          <w:rFonts w:hint="eastAsia" w:ascii="黑体" w:hAnsi="黑体" w:eastAsia="黑体" w:cs="黑体"/>
          <w:kern w:val="0"/>
          <w:sz w:val="32"/>
          <w:szCs w:val="32"/>
        </w:rPr>
        <w:t>八、关于</w:t>
      </w:r>
      <w:r>
        <w:rPr>
          <w:rFonts w:hint="eastAsia" w:ascii="黑体" w:hAnsi="黑体" w:eastAsia="黑体" w:cs="黑体"/>
          <w:kern w:val="0"/>
          <w:sz w:val="32"/>
          <w:szCs w:val="32"/>
          <w:lang w:eastAsia="zh-CN"/>
        </w:rPr>
        <w:t>202</w:t>
      </w:r>
      <w:r>
        <w:rPr>
          <w:rFonts w:hint="eastAsia" w:ascii="黑体" w:hAnsi="黑体" w:eastAsia="黑体" w:cs="黑体"/>
          <w:kern w:val="0"/>
          <w:sz w:val="32"/>
          <w:szCs w:val="32"/>
          <w:lang w:val="en-US" w:eastAsia="zh-CN"/>
        </w:rPr>
        <w:t>5</w:t>
      </w:r>
      <w:r>
        <w:rPr>
          <w:rFonts w:hint="eastAsia" w:ascii="黑体" w:hAnsi="黑体" w:eastAsia="黑体" w:cs="黑体"/>
          <w:kern w:val="0"/>
          <w:sz w:val="32"/>
          <w:szCs w:val="32"/>
          <w:lang w:eastAsia="zh-CN"/>
        </w:rPr>
        <w:t>年</w:t>
      </w:r>
      <w:r>
        <w:rPr>
          <w:rFonts w:hint="eastAsia" w:ascii="黑体" w:hAnsi="黑体" w:eastAsia="黑体" w:cs="黑体"/>
          <w:kern w:val="0"/>
          <w:sz w:val="32"/>
          <w:szCs w:val="32"/>
        </w:rPr>
        <w:t>新华区预算绩效管理工作开展情况的说明</w:t>
      </w:r>
    </w:p>
    <w:p w14:paraId="4EC43356">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根据上级预算绩效管理工作文件和要求，结合实际预算绩效管理工作开展情况说明如下：</w:t>
      </w:r>
    </w:p>
    <w:p w14:paraId="26045BBF">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区领导高度重视，区经济工作会议、区人大会等多次会议上对预算绩效管理工作进行要求，以预算支出绩效为导向调整优化支出结构，切实提高财政政策的精准度和有效性，提升财政资金的配置效率和使用效益，建立事前绩效评估机制，加强财政可承受能力评估，对不具备实施条件、存在财政风险隐患的政策和项目一律不得出台实施。加强绩效目标管理，科学设置绩效指标和指标值，扎实开展绩效目标运行监控，对发现的问题和管理漏洞，要及时采取措施予以纠正。全面开展绩效评价，加强绩效评价结果同政策调整、预算安排的有机结合，对支持方向与国家重大政策部署和部门主要职能相偏离、交叉重复的政策和项目予以调整，对低效无效项目进行压缩、调整或取消。统筹归并部门内部切块管理的项目，集中财力办大事。着力清理规范过高承诺、过度保障的支出政策。做到尽力而为、量力而行，确保财政可持续性。</w:t>
      </w:r>
    </w:p>
    <w:p w14:paraId="497784D6">
      <w:pPr>
        <w:autoSpaceDE w:val="0"/>
        <w:autoSpaceDN w:val="0"/>
        <w:adjustRightInd w:val="0"/>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九、关于新华区举借债务情况的说明</w:t>
      </w:r>
    </w:p>
    <w:p w14:paraId="08A9FECC">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2024年，省财政厅核定我区政府债务限额357573万元，其中：一般债务限额52157万元；专项债务限额305416万元。2024年底，政府债务余额355461万元，其中：一般债务余额52022万元；专项债务余额303439万元。我区政府债务余额在核定限额之内。</w:t>
      </w:r>
    </w:p>
    <w:p w14:paraId="686B6F85">
      <w:pPr>
        <w:autoSpaceDE w:val="0"/>
        <w:autoSpaceDN w:val="0"/>
        <w:adjustRightInd w:val="0"/>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2024年，全区共转贷政府债券103100万元，其中：一般债券4000万元（包括：新增一般债券900万元，再融资一般债券3100万元）；专项债券99100万元（包括：新增专项债券52700万元，再融资专项债券9400万元、置换专项债券37000万元）。</w:t>
      </w:r>
    </w:p>
    <w:p w14:paraId="719684DF">
      <w:pPr>
        <w:autoSpaceDE w:val="0"/>
        <w:autoSpaceDN w:val="0"/>
        <w:adjustRightInd w:val="0"/>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eastAsia="zh-CN"/>
        </w:rPr>
        <w:t>年，我区一般政府债券付息</w:t>
      </w:r>
      <w:r>
        <w:rPr>
          <w:rFonts w:hint="eastAsia" w:ascii="仿宋_GB2312" w:hAnsi="仿宋_GB2312" w:eastAsia="仿宋_GB2312" w:cs="仿宋_GB2312"/>
          <w:kern w:val="0"/>
          <w:sz w:val="32"/>
          <w:szCs w:val="32"/>
          <w:lang w:val="en-US" w:eastAsia="zh-CN"/>
        </w:rPr>
        <w:t>1548</w:t>
      </w:r>
      <w:r>
        <w:rPr>
          <w:rFonts w:hint="eastAsia" w:ascii="仿宋_GB2312" w:hAnsi="仿宋_GB2312" w:eastAsia="仿宋_GB2312" w:cs="仿宋_GB2312"/>
          <w:kern w:val="0"/>
          <w:sz w:val="32"/>
          <w:szCs w:val="32"/>
          <w:lang w:eastAsia="zh-CN"/>
        </w:rPr>
        <w:t>万元，专项政府债券付息</w:t>
      </w:r>
      <w:r>
        <w:rPr>
          <w:rFonts w:hint="eastAsia" w:ascii="仿宋_GB2312" w:hAnsi="仿宋_GB2312" w:eastAsia="仿宋_GB2312" w:cs="仿宋_GB2312"/>
          <w:kern w:val="0"/>
          <w:sz w:val="32"/>
          <w:szCs w:val="32"/>
          <w:lang w:val="en-US" w:eastAsia="zh-CN"/>
        </w:rPr>
        <w:t>8118</w:t>
      </w:r>
      <w:r>
        <w:rPr>
          <w:rFonts w:hint="eastAsia" w:ascii="仿宋_GB2312" w:hAnsi="仿宋_GB2312" w:eastAsia="仿宋_GB2312" w:cs="仿宋_GB2312"/>
          <w:kern w:val="0"/>
          <w:sz w:val="32"/>
          <w:szCs w:val="32"/>
          <w:lang w:eastAsia="zh-CN"/>
        </w:rPr>
        <w:t>万元，全部列入年初预算。</w:t>
      </w:r>
    </w:p>
    <w:p w14:paraId="410DDCBC">
      <w:pPr>
        <w:autoSpaceDE w:val="0"/>
        <w:autoSpaceDN w:val="0"/>
        <w:adjustRightInd w:val="0"/>
        <w:ind w:firstLine="640" w:firstLineChars="200"/>
        <w:jc w:val="left"/>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十、关于2025年新华区上级转移支付安排情况说明</w:t>
      </w:r>
    </w:p>
    <w:p w14:paraId="1BA2FEA0">
      <w:pPr>
        <w:autoSpaceDE w:val="0"/>
        <w:autoSpaceDN w:val="0"/>
        <w:adjustRightInd w:val="0"/>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新华区一般性转移支付收入34892万元，专项转移支付收入301万元。</w:t>
      </w:r>
    </w:p>
    <w:p w14:paraId="6AFCFCA9">
      <w:pPr>
        <w:autoSpaceDE w:val="0"/>
        <w:autoSpaceDN w:val="0"/>
        <w:adjustRightInd w:val="0"/>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一般性转移支付收入34892万元，其中：均衡性转移支付收入9589万元，县级基本财力保障机制奖补资金收入7063万元，结算补助收入66万元，固定数额补助收入8521万元，公共安全共同财政事权转移支付收入61万元，教育共同财政事权转移支付收入1374万元，社会保障和就业共同财政事权转移支付收入1491万元，医疗卫生共同财政事权转移支付收入3243万元，农林水共同财政事权转移支付收入172万元,其他一般性转移支付收入3312万元。</w:t>
      </w:r>
    </w:p>
    <w:p w14:paraId="4D075A80">
      <w:pPr>
        <w:autoSpaceDE w:val="0"/>
        <w:autoSpaceDN w:val="0"/>
        <w:adjustRightInd w:val="0"/>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2．专项转移支付收入301万元，其中：农林水301万元。</w:t>
      </w:r>
    </w:p>
    <w:p w14:paraId="6763E94C">
      <w:pPr>
        <w:autoSpaceDE w:val="0"/>
        <w:autoSpaceDN w:val="0"/>
        <w:adjustRightInd w:val="0"/>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十</w:t>
      </w:r>
      <w:r>
        <w:rPr>
          <w:rFonts w:hint="eastAsia" w:ascii="黑体" w:hAnsi="黑体" w:eastAsia="黑体" w:cs="黑体"/>
          <w:kern w:val="0"/>
          <w:sz w:val="32"/>
          <w:szCs w:val="32"/>
          <w:lang w:val="en-US" w:eastAsia="zh-CN"/>
        </w:rPr>
        <w:t>一</w:t>
      </w:r>
      <w:r>
        <w:rPr>
          <w:rFonts w:hint="eastAsia" w:ascii="黑体" w:hAnsi="黑体" w:eastAsia="黑体" w:cs="黑体"/>
          <w:kern w:val="0"/>
          <w:sz w:val="32"/>
          <w:szCs w:val="32"/>
        </w:rPr>
        <w:t>、关于</w:t>
      </w:r>
      <w:r>
        <w:rPr>
          <w:rFonts w:hint="eastAsia" w:ascii="黑体" w:hAnsi="黑体" w:eastAsia="黑体" w:cs="黑体"/>
          <w:kern w:val="0"/>
          <w:sz w:val="32"/>
          <w:szCs w:val="32"/>
          <w:lang w:eastAsia="zh-CN"/>
        </w:rPr>
        <w:t>202</w:t>
      </w:r>
      <w:r>
        <w:rPr>
          <w:rFonts w:hint="eastAsia" w:ascii="黑体" w:hAnsi="黑体" w:eastAsia="黑体" w:cs="黑体"/>
          <w:kern w:val="0"/>
          <w:sz w:val="32"/>
          <w:szCs w:val="32"/>
          <w:lang w:val="en-US" w:eastAsia="zh-CN"/>
        </w:rPr>
        <w:t>5</w:t>
      </w:r>
      <w:r>
        <w:rPr>
          <w:rFonts w:hint="eastAsia" w:ascii="黑体" w:hAnsi="黑体" w:eastAsia="黑体" w:cs="黑体"/>
          <w:kern w:val="0"/>
          <w:sz w:val="32"/>
          <w:szCs w:val="32"/>
          <w:lang w:eastAsia="zh-CN"/>
        </w:rPr>
        <w:t>年</w:t>
      </w:r>
      <w:r>
        <w:rPr>
          <w:rFonts w:hint="eastAsia" w:ascii="黑体" w:hAnsi="黑体" w:eastAsia="黑体" w:cs="黑体"/>
          <w:kern w:val="0"/>
          <w:sz w:val="32"/>
          <w:szCs w:val="32"/>
        </w:rPr>
        <w:t>新华区“三公”经费预算情况的说明</w:t>
      </w:r>
    </w:p>
    <w:p w14:paraId="2DDF0181">
      <w:pPr>
        <w:ind w:firstLine="640" w:firstLineChars="200"/>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202</w:t>
      </w: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lang w:eastAsia="zh-CN"/>
        </w:rPr>
        <w:t>年我区“三公”经费预算为</w:t>
      </w:r>
      <w:r>
        <w:rPr>
          <w:rFonts w:hint="eastAsia" w:ascii="仿宋_GB2312" w:eastAsia="仿宋_GB2312" w:cs="仿宋_GB2312"/>
          <w:kern w:val="0"/>
          <w:sz w:val="32"/>
          <w:szCs w:val="32"/>
          <w:lang w:val="en-US" w:eastAsia="zh-CN"/>
        </w:rPr>
        <w:t>568</w:t>
      </w:r>
      <w:r>
        <w:rPr>
          <w:rFonts w:hint="eastAsia" w:ascii="仿宋_GB2312" w:eastAsia="仿宋_GB2312" w:cs="仿宋_GB2312"/>
          <w:kern w:val="0"/>
          <w:sz w:val="32"/>
          <w:szCs w:val="32"/>
          <w:lang w:eastAsia="zh-CN"/>
        </w:rPr>
        <w:t>万元，较202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lang w:eastAsia="zh-CN"/>
        </w:rPr>
        <w:t>年</w:t>
      </w:r>
      <w:r>
        <w:rPr>
          <w:rFonts w:hint="eastAsia" w:ascii="仿宋_GB2312" w:eastAsia="仿宋_GB2312" w:cs="仿宋_GB2312"/>
          <w:kern w:val="0"/>
          <w:sz w:val="32"/>
          <w:szCs w:val="32"/>
          <w:lang w:val="en-US" w:eastAsia="zh-CN"/>
        </w:rPr>
        <w:t>增长23.2</w:t>
      </w:r>
      <w:r>
        <w:rPr>
          <w:rFonts w:hint="eastAsia" w:ascii="仿宋_GB2312" w:eastAsia="仿宋_GB2312" w:cs="仿宋_GB2312"/>
          <w:kern w:val="0"/>
          <w:sz w:val="32"/>
          <w:szCs w:val="32"/>
          <w:lang w:eastAsia="zh-CN"/>
        </w:rPr>
        <w:t>%。“三公”经费各项预算安排情况如下：</w:t>
      </w:r>
    </w:p>
    <w:p w14:paraId="70F05C46">
      <w:pPr>
        <w:ind w:firstLine="640" w:firstLineChars="200"/>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1.因公出国（境）费预算0万元，较202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lang w:eastAsia="zh-CN"/>
        </w:rPr>
        <w:t>年预算下降0；主要原因为压减一般性支出；</w:t>
      </w:r>
    </w:p>
    <w:p w14:paraId="42F781D2">
      <w:pPr>
        <w:ind w:firstLine="640" w:firstLineChars="200"/>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2.公务接待费预算</w:t>
      </w:r>
      <w:r>
        <w:rPr>
          <w:rFonts w:hint="eastAsia" w:ascii="仿宋_GB2312" w:eastAsia="仿宋_GB2312" w:cs="仿宋_GB2312"/>
          <w:kern w:val="0"/>
          <w:sz w:val="32"/>
          <w:szCs w:val="32"/>
          <w:lang w:val="en-US" w:eastAsia="zh-CN"/>
        </w:rPr>
        <w:t>89</w:t>
      </w:r>
      <w:r>
        <w:rPr>
          <w:rFonts w:hint="eastAsia" w:ascii="仿宋_GB2312" w:eastAsia="仿宋_GB2312" w:cs="仿宋_GB2312"/>
          <w:kern w:val="0"/>
          <w:sz w:val="32"/>
          <w:szCs w:val="32"/>
          <w:lang w:eastAsia="zh-CN"/>
        </w:rPr>
        <w:t>万元，较202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lang w:eastAsia="zh-CN"/>
        </w:rPr>
        <w:t>年预算下降</w:t>
      </w:r>
      <w:r>
        <w:rPr>
          <w:rFonts w:hint="eastAsia" w:ascii="仿宋_GB2312" w:eastAsia="仿宋_GB2312" w:cs="仿宋_GB2312"/>
          <w:kern w:val="0"/>
          <w:sz w:val="32"/>
          <w:szCs w:val="32"/>
          <w:lang w:val="en-US" w:eastAsia="zh-CN"/>
        </w:rPr>
        <w:t>2.2</w:t>
      </w:r>
      <w:r>
        <w:rPr>
          <w:rFonts w:hint="eastAsia" w:ascii="仿宋_GB2312" w:eastAsia="仿宋_GB2312" w:cs="仿宋_GB2312"/>
          <w:kern w:val="0"/>
          <w:sz w:val="32"/>
          <w:szCs w:val="32"/>
          <w:lang w:eastAsia="zh-CN"/>
        </w:rPr>
        <w:t>%，主要原因为压减一般性支出；</w:t>
      </w:r>
    </w:p>
    <w:p w14:paraId="328423D1">
      <w:pPr>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lang w:eastAsia="zh-CN"/>
        </w:rPr>
        <w:t>3.公务用车预算4</w:t>
      </w:r>
      <w:r>
        <w:rPr>
          <w:rFonts w:hint="eastAsia" w:ascii="仿宋_GB2312" w:eastAsia="仿宋_GB2312" w:cs="仿宋_GB2312"/>
          <w:kern w:val="0"/>
          <w:sz w:val="32"/>
          <w:szCs w:val="32"/>
          <w:lang w:val="en-US" w:eastAsia="zh-CN"/>
        </w:rPr>
        <w:t>79</w:t>
      </w:r>
      <w:r>
        <w:rPr>
          <w:rFonts w:hint="eastAsia" w:ascii="仿宋_GB2312" w:eastAsia="仿宋_GB2312" w:cs="仿宋_GB2312"/>
          <w:kern w:val="0"/>
          <w:sz w:val="32"/>
          <w:szCs w:val="32"/>
          <w:lang w:eastAsia="zh-CN"/>
        </w:rPr>
        <w:t>万元，较202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lang w:eastAsia="zh-CN"/>
        </w:rPr>
        <w:t>年预算</w:t>
      </w:r>
      <w:r>
        <w:rPr>
          <w:rFonts w:hint="eastAsia" w:ascii="仿宋_GB2312" w:eastAsia="仿宋_GB2312" w:cs="仿宋_GB2312"/>
          <w:kern w:val="0"/>
          <w:sz w:val="32"/>
          <w:szCs w:val="32"/>
          <w:lang w:val="en-US" w:eastAsia="zh-CN"/>
        </w:rPr>
        <w:t>增长5.7</w:t>
      </w:r>
      <w:r>
        <w:rPr>
          <w:rFonts w:hint="eastAsia" w:ascii="仿宋_GB2312" w:eastAsia="仿宋_GB2312" w:cs="仿宋_GB2312"/>
          <w:kern w:val="0"/>
          <w:sz w:val="32"/>
          <w:szCs w:val="32"/>
          <w:lang w:eastAsia="zh-CN"/>
        </w:rPr>
        <w:t>%，其中：公务用车购置费</w:t>
      </w:r>
      <w:r>
        <w:rPr>
          <w:rFonts w:hint="eastAsia" w:ascii="仿宋_GB2312" w:eastAsia="仿宋_GB2312" w:cs="仿宋_GB2312"/>
          <w:kern w:val="0"/>
          <w:sz w:val="32"/>
          <w:szCs w:val="32"/>
          <w:lang w:val="en-US" w:eastAsia="zh-CN"/>
        </w:rPr>
        <w:t>18</w:t>
      </w:r>
      <w:r>
        <w:rPr>
          <w:rFonts w:hint="eastAsia" w:ascii="仿宋_GB2312" w:eastAsia="仿宋_GB2312" w:cs="仿宋_GB2312"/>
          <w:kern w:val="0"/>
          <w:sz w:val="32"/>
          <w:szCs w:val="32"/>
          <w:lang w:eastAsia="zh-CN"/>
        </w:rPr>
        <w:t>万元；公务用车运行维护费4</w:t>
      </w:r>
      <w:r>
        <w:rPr>
          <w:rFonts w:hint="eastAsia" w:ascii="仿宋_GB2312" w:eastAsia="仿宋_GB2312" w:cs="仿宋_GB2312"/>
          <w:kern w:val="0"/>
          <w:sz w:val="32"/>
          <w:szCs w:val="32"/>
          <w:lang w:val="en-US" w:eastAsia="zh-CN"/>
        </w:rPr>
        <w:t>61</w:t>
      </w:r>
      <w:r>
        <w:rPr>
          <w:rFonts w:hint="eastAsia" w:ascii="仿宋_GB2312" w:eastAsia="仿宋_GB2312" w:cs="仿宋_GB2312"/>
          <w:kern w:val="0"/>
          <w:sz w:val="32"/>
          <w:szCs w:val="32"/>
          <w:lang w:eastAsia="zh-CN"/>
        </w:rPr>
        <w:t>万元，</w:t>
      </w:r>
      <w:r>
        <w:rPr>
          <w:rFonts w:hint="eastAsia" w:ascii="仿宋_GB2312" w:eastAsia="仿宋_GB2312" w:cs="仿宋_GB2312"/>
          <w:kern w:val="0"/>
          <w:sz w:val="32"/>
          <w:szCs w:val="32"/>
          <w:lang w:val="en-US" w:eastAsia="zh-CN"/>
        </w:rPr>
        <w:t>增长</w:t>
      </w:r>
      <w:r>
        <w:rPr>
          <w:rFonts w:hint="eastAsia" w:ascii="仿宋_GB2312" w:eastAsia="仿宋_GB2312" w:cs="仿宋_GB2312"/>
          <w:kern w:val="0"/>
          <w:sz w:val="32"/>
          <w:szCs w:val="32"/>
          <w:lang w:eastAsia="zh-CN"/>
        </w:rPr>
        <w:t>1.8%，主要原因是</w:t>
      </w:r>
      <w:bookmarkStart w:id="0" w:name="_GoBack"/>
      <w:bookmarkEnd w:id="0"/>
      <w:r>
        <w:rPr>
          <w:rFonts w:hint="eastAsia" w:ascii="仿宋_GB2312" w:eastAsia="仿宋_GB2312" w:cs="仿宋_GB2312"/>
          <w:kern w:val="0"/>
          <w:sz w:val="32"/>
          <w:szCs w:val="32"/>
          <w:lang w:eastAsia="zh-CN"/>
        </w:rPr>
        <w:t>车辆年久，存在安全隐患，需处置更新</w:t>
      </w:r>
      <w:r>
        <w:rPr>
          <w:rFonts w:hint="eastAsia" w:ascii="仿宋_GB2312" w:eastAsia="仿宋_GB2312" w:cs="仿宋_GB2312"/>
          <w:kern w:val="0"/>
          <w:sz w:val="32"/>
          <w:szCs w:val="32"/>
          <w:lang w:val="en-US" w:eastAsia="zh-CN"/>
        </w:rPr>
        <w:t>，一些车辆老化严重，运行维修费用增加</w:t>
      </w:r>
      <w:r>
        <w:rPr>
          <w:rFonts w:hint="eastAsia" w:ascii="仿宋_GB2312" w:eastAsia="仿宋_GB2312" w:cs="仿宋_GB2312"/>
          <w:kern w:val="0"/>
          <w:sz w:val="32"/>
          <w:szCs w:val="32"/>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0000600000000000000"/>
    <w:charset w:val="86"/>
    <w:family w:val="script"/>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EC9C5">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07D4E">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F607D4E">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zZTkzZmJkNDU4ZGY3MWEwZTRiZTYxYzZhYWIyNmUifQ=="/>
  </w:docVars>
  <w:rsids>
    <w:rsidRoot w:val="00EE43DE"/>
    <w:rsid w:val="000516E6"/>
    <w:rsid w:val="00060E6C"/>
    <w:rsid w:val="00086827"/>
    <w:rsid w:val="00115834"/>
    <w:rsid w:val="00164876"/>
    <w:rsid w:val="00202B47"/>
    <w:rsid w:val="002735B5"/>
    <w:rsid w:val="002C65BF"/>
    <w:rsid w:val="002D7705"/>
    <w:rsid w:val="00375032"/>
    <w:rsid w:val="00401E3A"/>
    <w:rsid w:val="0041257D"/>
    <w:rsid w:val="004753C8"/>
    <w:rsid w:val="004B7475"/>
    <w:rsid w:val="005E0777"/>
    <w:rsid w:val="005F6A15"/>
    <w:rsid w:val="006442E4"/>
    <w:rsid w:val="007B3426"/>
    <w:rsid w:val="00800016"/>
    <w:rsid w:val="00831328"/>
    <w:rsid w:val="008B0935"/>
    <w:rsid w:val="008C6498"/>
    <w:rsid w:val="009A3AA1"/>
    <w:rsid w:val="009B26F5"/>
    <w:rsid w:val="009E71EA"/>
    <w:rsid w:val="009F1FF1"/>
    <w:rsid w:val="00A2035F"/>
    <w:rsid w:val="00AF4035"/>
    <w:rsid w:val="00B1572F"/>
    <w:rsid w:val="00C82B5D"/>
    <w:rsid w:val="00C8338E"/>
    <w:rsid w:val="00CC117F"/>
    <w:rsid w:val="00D568B7"/>
    <w:rsid w:val="00DE089F"/>
    <w:rsid w:val="00E61DAC"/>
    <w:rsid w:val="00E77284"/>
    <w:rsid w:val="00EE43DE"/>
    <w:rsid w:val="00EF7162"/>
    <w:rsid w:val="03305FFE"/>
    <w:rsid w:val="09BB09A8"/>
    <w:rsid w:val="0C327C7A"/>
    <w:rsid w:val="0FED29EC"/>
    <w:rsid w:val="12387358"/>
    <w:rsid w:val="133D3D4A"/>
    <w:rsid w:val="13CC5A82"/>
    <w:rsid w:val="19C17ECA"/>
    <w:rsid w:val="1BE1655F"/>
    <w:rsid w:val="206F196F"/>
    <w:rsid w:val="235B7933"/>
    <w:rsid w:val="28076E31"/>
    <w:rsid w:val="2A366B7D"/>
    <w:rsid w:val="2BA47684"/>
    <w:rsid w:val="36522196"/>
    <w:rsid w:val="37E53CC8"/>
    <w:rsid w:val="38760E41"/>
    <w:rsid w:val="4001312B"/>
    <w:rsid w:val="40092745"/>
    <w:rsid w:val="40330708"/>
    <w:rsid w:val="433D0BF4"/>
    <w:rsid w:val="464C3A76"/>
    <w:rsid w:val="4A3D0571"/>
    <w:rsid w:val="4B015D61"/>
    <w:rsid w:val="4BAE49BA"/>
    <w:rsid w:val="4C1511F1"/>
    <w:rsid w:val="4D3A507C"/>
    <w:rsid w:val="4D434A14"/>
    <w:rsid w:val="4F440434"/>
    <w:rsid w:val="5BE4019D"/>
    <w:rsid w:val="5E284449"/>
    <w:rsid w:val="617D2E90"/>
    <w:rsid w:val="638C5B20"/>
    <w:rsid w:val="6E7C32EF"/>
    <w:rsid w:val="73C354C5"/>
    <w:rsid w:val="76DE043E"/>
    <w:rsid w:val="79176C59"/>
    <w:rsid w:val="7AAE2702"/>
    <w:rsid w:val="7D4516CD"/>
    <w:rsid w:val="7DBC0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footer"/>
    <w:basedOn w:val="1"/>
    <w:autoRedefine/>
    <w:unhideWhenUsed/>
    <w:qFormat/>
    <w:uiPriority w:val="99"/>
    <w:pPr>
      <w:tabs>
        <w:tab w:val="center" w:pos="4153"/>
        <w:tab w:val="right" w:pos="8306"/>
      </w:tabs>
      <w:snapToGrid w:val="0"/>
      <w:jc w:val="left"/>
    </w:pPr>
    <w:rPr>
      <w:sz w:val="18"/>
    </w:rPr>
  </w:style>
  <w:style w:type="paragraph" w:styleId="4">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customStyle="1" w:styleId="8">
    <w:name w:val="Body Text First Indent1"/>
    <w:basedOn w:val="2"/>
    <w:next w:val="4"/>
    <w:uiPriority w:val="0"/>
    <w:pPr>
      <w:spacing w:before="100" w:beforeAutospacing="1" w:after="0"/>
      <w:ind w:firstLine="420" w:firstLineChars="100"/>
    </w:pPr>
    <w:rPr>
      <w:rFonts w:ascii="Times New Roman" w:hAnsi="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2263</Words>
  <Characters>2658</Characters>
  <Lines>13</Lines>
  <Paragraphs>3</Paragraphs>
  <TotalTime>32</TotalTime>
  <ScaleCrop>false</ScaleCrop>
  <LinksUpToDate>false</LinksUpToDate>
  <CharactersWithSpaces>2658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2021-06-30T00:44:00Z</dcterms:created>
  <dc:creator>User</dc:creator>
  <cp:lastModifiedBy>紫云</cp:lastModifiedBy>
  <dcterms:modified xsi:type="dcterms:W3CDTF">2025-05-12T08:00:42Z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186C6DBC990D4EB6A089DAFCCBF2682C</vt:lpwstr>
  </property>
  <property fmtid="{D5CDD505-2E9C-101B-9397-08002B2CF9AE}" pid="4" name="KSOTemplateDocerSaveRecord">
    <vt:lpwstr>eyJoZGlkIjoiZjczZTkzZmJkNDU4ZGY3MWEwZTRiZTYxYzZhYWIyNmUiLCJ1c2VySWQiOiIzMTUzOTkxNTQifQ==</vt:lpwstr>
  </property>
</Properties>
</file>